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36" w:lineRule="auto"/>
        <w:textAlignment w:val="top"/>
        <w:rPr>
          <w:rFonts w:hAnsi="宋体" w:cs="宋体"/>
          <w:b/>
          <w:bCs/>
          <w:kern w:val="0"/>
          <w:sz w:val="24"/>
          <w:szCs w:val="24"/>
        </w:rPr>
      </w:pPr>
      <w:r>
        <w:rPr>
          <w:rFonts w:hint="eastAsia" w:hAnsi="宋体" w:cs="宋体"/>
          <w:b/>
          <w:bCs/>
          <w:kern w:val="0"/>
          <w:sz w:val="24"/>
          <w:szCs w:val="24"/>
        </w:rPr>
        <w:t>附件</w:t>
      </w:r>
      <w:r>
        <w:rPr>
          <w:rFonts w:hint="eastAsia" w:hAnsi="宋体" w:cs="宋体"/>
          <w:b/>
          <w:bCs/>
          <w:kern w:val="0"/>
          <w:sz w:val="24"/>
          <w:szCs w:val="24"/>
          <w:lang w:val="en-US" w:eastAsia="zh-CN"/>
        </w:rPr>
        <w:t>2</w:t>
      </w:r>
      <w:bookmarkStart w:id="6" w:name="_GoBack"/>
      <w:bookmarkEnd w:id="6"/>
      <w:r>
        <w:rPr>
          <w:rFonts w:hint="eastAsia" w:hAnsi="宋体" w:cs="宋体"/>
          <w:b/>
          <w:bCs/>
          <w:kern w:val="0"/>
          <w:sz w:val="24"/>
          <w:szCs w:val="24"/>
        </w:rPr>
        <w:t>：</w:t>
      </w:r>
    </w:p>
    <w:p>
      <w:pPr>
        <w:pStyle w:val="3"/>
        <w:spacing w:line="336" w:lineRule="auto"/>
        <w:textAlignment w:val="top"/>
        <w:rPr>
          <w:rFonts w:hAnsi="宋体" w:cs="宋体"/>
          <w:b/>
          <w:bCs/>
          <w:kern w:val="0"/>
          <w:sz w:val="24"/>
          <w:szCs w:val="24"/>
        </w:rPr>
      </w:pPr>
    </w:p>
    <w:p>
      <w:pPr>
        <w:pStyle w:val="3"/>
        <w:spacing w:line="336" w:lineRule="auto"/>
        <w:textAlignment w:val="top"/>
        <w:rPr>
          <w:rFonts w:hAnsi="宋体" w:cs="宋体"/>
          <w:b/>
          <w:bCs/>
          <w:color w:val="0000FF"/>
          <w:kern w:val="0"/>
          <w:sz w:val="24"/>
          <w:szCs w:val="24"/>
        </w:rPr>
      </w:pPr>
      <w:r>
        <w:rPr>
          <w:rFonts w:hint="eastAsia" w:hAnsi="宋体" w:cs="宋体"/>
          <w:b/>
          <w:bCs/>
          <w:color w:val="0000FF"/>
          <w:kern w:val="0"/>
          <w:sz w:val="24"/>
          <w:szCs w:val="24"/>
        </w:rPr>
        <w:t>备注</w:t>
      </w:r>
      <w:r>
        <w:rPr>
          <w:rFonts w:hAnsi="宋体" w:cs="宋体"/>
          <w:b/>
          <w:bCs/>
          <w:color w:val="0000FF"/>
          <w:kern w:val="0"/>
          <w:sz w:val="24"/>
          <w:szCs w:val="24"/>
        </w:rPr>
        <w:t>：</w:t>
      </w:r>
      <w:r>
        <w:rPr>
          <w:rFonts w:hint="eastAsia" w:hAnsi="宋体" w:cs="宋体"/>
          <w:b/>
          <w:bCs/>
          <w:color w:val="0000FF"/>
          <w:kern w:val="0"/>
          <w:sz w:val="24"/>
          <w:szCs w:val="24"/>
        </w:rPr>
        <w:t>品牌型号仅起参考作用，供应商可选用其他品牌型号替代，但这些替代的品牌型号要实质上相当于或优于参考品牌型号及其技术参数性能要求。</w:t>
      </w:r>
    </w:p>
    <w:p>
      <w:pPr>
        <w:pStyle w:val="3"/>
        <w:spacing w:line="336" w:lineRule="auto"/>
        <w:textAlignment w:val="top"/>
        <w:rPr>
          <w:rFonts w:hAnsi="宋体" w:cs="宋体"/>
          <w:b/>
          <w:bCs/>
          <w:kern w:val="0"/>
          <w:sz w:val="24"/>
          <w:szCs w:val="24"/>
        </w:rPr>
      </w:pPr>
    </w:p>
    <w:p>
      <w:pPr>
        <w:keepNext/>
        <w:keepLines/>
        <w:spacing w:line="360" w:lineRule="auto"/>
        <w:outlineLvl w:val="1"/>
        <w:rPr>
          <w:rFonts w:cs="宋体" w:asciiTheme="minorEastAsia" w:hAnsiTheme="minorEastAsia"/>
          <w:b/>
          <w:bCs/>
          <w:kern w:val="0"/>
          <w:sz w:val="24"/>
          <w:szCs w:val="24"/>
        </w:rPr>
      </w:pPr>
      <w:bookmarkStart w:id="0" w:name="_Toc40399103"/>
      <w:r>
        <w:rPr>
          <w:rFonts w:hint="eastAsia" w:cs="宋体" w:asciiTheme="minorEastAsia" w:hAnsiTheme="minorEastAsia"/>
          <w:b/>
          <w:bCs/>
          <w:kern w:val="0"/>
          <w:sz w:val="24"/>
          <w:szCs w:val="24"/>
        </w:rPr>
        <w:t>1.</w:t>
      </w:r>
      <w:r>
        <w:rPr>
          <w:rFonts w:cs="宋体" w:asciiTheme="minorEastAsia" w:hAnsiTheme="minorEastAsia"/>
          <w:b/>
          <w:bCs/>
          <w:kern w:val="0"/>
          <w:sz w:val="24"/>
          <w:szCs w:val="24"/>
        </w:rPr>
        <w:t>1</w:t>
      </w:r>
      <w:r>
        <w:rPr>
          <w:rFonts w:hint="eastAsia" w:cs="宋体" w:asciiTheme="minorEastAsia" w:hAnsiTheme="minorEastAsia"/>
          <w:b/>
          <w:bCs/>
          <w:kern w:val="0"/>
          <w:sz w:val="24"/>
          <w:szCs w:val="24"/>
        </w:rPr>
        <w:t>外观及技术参数</w:t>
      </w:r>
      <w:bookmarkEnd w:id="0"/>
    </w:p>
    <w:p>
      <w:pPr>
        <w:widowControl/>
        <w:spacing w:line="360" w:lineRule="auto"/>
        <w:ind w:firstLine="482"/>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（1）产品外观</w:t>
      </w:r>
    </w:p>
    <w:p>
      <w:pPr>
        <w:widowControl/>
        <w:spacing w:line="360" w:lineRule="auto"/>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宜点充智能独立插座：采用现代化个性设计，可适用于街道、商业区、写字楼、医院、小区等多个安装场景，最大功率达2200W，可满足低速二轮三轮四轮电动车充电，是低速智能充电设备的最佳选择。采用符合国家安全等级标准的材质，产品符合国家对充电桩的安全规范，系统有完善的远程监控、火灾报警功能，支持室内、外安装。</w:t>
      </w:r>
    </w:p>
    <w:p>
      <w:pPr>
        <w:widowControl/>
        <w:adjustRightInd w:val="0"/>
        <w:snapToGrid w:val="0"/>
        <w:spacing w:after="120"/>
        <w:ind w:firstLine="1320" w:firstLineChars="600"/>
        <w:jc w:val="left"/>
        <w:rPr>
          <w:rFonts w:ascii="宋体" w:hAnsi="宋体" w:eastAsia="微软雅黑" w:cs="宋体"/>
          <w:kern w:val="0"/>
          <w:sz w:val="22"/>
        </w:rPr>
      </w:pPr>
      <w:r>
        <w:rPr>
          <w:rFonts w:hint="eastAsia" w:ascii="宋体" w:hAnsi="宋体" w:eastAsia="微软雅黑" w:cs="宋体"/>
          <w:kern w:val="0"/>
          <w:sz w:val="22"/>
        </w:rPr>
        <w:drawing>
          <wp:inline distT="0" distB="0" distL="114300" distR="114300">
            <wp:extent cx="3467100" cy="2261870"/>
            <wp:effectExtent l="19050" t="0" r="0" b="0"/>
            <wp:docPr id="1" name="图片 2" descr="25141e9ddb2c6a92046079e12eff9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5141e9ddb2c6a92046079e12eff9d4"/>
                    <pic:cNvPicPr>
                      <a:picLocks noChangeAspect="1"/>
                    </pic:cNvPicPr>
                  </pic:nvPicPr>
                  <pic:blipFill>
                    <a:blip r:embed="rId5" cstate="print"/>
                    <a:stretch>
                      <a:fillRect/>
                    </a:stretch>
                  </pic:blipFill>
                  <pic:spPr>
                    <a:xfrm>
                      <a:off x="0" y="0"/>
                      <a:ext cx="3470307" cy="2264572"/>
                    </a:xfrm>
                    <a:prstGeom prst="rect">
                      <a:avLst/>
                    </a:prstGeom>
                  </pic:spPr>
                </pic:pic>
              </a:graphicData>
            </a:graphic>
          </wp:inline>
        </w:drawing>
      </w:r>
    </w:p>
    <w:p>
      <w:pPr>
        <w:widowControl/>
        <w:adjustRightInd w:val="0"/>
        <w:snapToGrid w:val="0"/>
        <w:spacing w:after="200"/>
        <w:ind w:firstLine="2760" w:firstLineChars="1150"/>
        <w:jc w:val="left"/>
        <w:rPr>
          <w:rFonts w:asciiTheme="minorEastAsia" w:hAnsiTheme="minorEastAsia"/>
          <w:kern w:val="0"/>
          <w:sz w:val="24"/>
          <w:szCs w:val="24"/>
        </w:rPr>
      </w:pPr>
      <w:r>
        <w:rPr>
          <w:rFonts w:hint="eastAsia" w:cs="宋体" w:asciiTheme="minorEastAsia" w:hAnsiTheme="minorEastAsia"/>
          <w:kern w:val="0"/>
          <w:sz w:val="24"/>
          <w:szCs w:val="24"/>
        </w:rPr>
        <w:t xml:space="preserve">2200W双路智能充电插座                  </w:t>
      </w:r>
    </w:p>
    <w:p>
      <w:pPr>
        <w:widowControl/>
        <w:adjustRightInd w:val="0"/>
        <w:snapToGrid w:val="0"/>
        <w:spacing w:after="200"/>
        <w:ind w:firstLine="482"/>
        <w:jc w:val="left"/>
        <w:rPr>
          <w:rFonts w:ascii="仿宋" w:hAnsi="仿宋" w:eastAsia="仿宋" w:cs="宋体"/>
          <w:b/>
          <w:bCs/>
          <w:kern w:val="0"/>
          <w:sz w:val="24"/>
          <w:szCs w:val="24"/>
        </w:rPr>
      </w:pPr>
      <w:r>
        <w:rPr>
          <w:rFonts w:hint="eastAsia" w:ascii="仿宋" w:hAnsi="仿宋" w:eastAsia="仿宋" w:cs="宋体"/>
          <w:b/>
          <w:bCs/>
          <w:kern w:val="0"/>
          <w:sz w:val="24"/>
          <w:szCs w:val="24"/>
        </w:rPr>
        <w:t>（</w:t>
      </w:r>
      <w:r>
        <w:rPr>
          <w:rFonts w:ascii="仿宋" w:hAnsi="仿宋" w:eastAsia="仿宋" w:cs="宋体"/>
          <w:b/>
          <w:bCs/>
          <w:kern w:val="0"/>
          <w:sz w:val="24"/>
          <w:szCs w:val="24"/>
        </w:rPr>
        <w:t>2</w:t>
      </w:r>
      <w:r>
        <w:rPr>
          <w:rFonts w:hint="eastAsia" w:ascii="仿宋" w:hAnsi="仿宋" w:eastAsia="仿宋" w:cs="宋体"/>
          <w:b/>
          <w:bCs/>
          <w:kern w:val="0"/>
          <w:sz w:val="24"/>
          <w:szCs w:val="24"/>
        </w:rPr>
        <w:t>）产品技术参数</w:t>
      </w:r>
    </w:p>
    <w:tbl>
      <w:tblPr>
        <w:tblStyle w:val="8"/>
        <w:tblW w:w="8864" w:type="dxa"/>
        <w:jc w:val="center"/>
        <w:tblLayout w:type="fixed"/>
        <w:tblCellMar>
          <w:top w:w="0" w:type="dxa"/>
          <w:left w:w="108" w:type="dxa"/>
          <w:bottom w:w="0" w:type="dxa"/>
          <w:right w:w="108" w:type="dxa"/>
        </w:tblCellMar>
      </w:tblPr>
      <w:tblGrid>
        <w:gridCol w:w="851"/>
        <w:gridCol w:w="2201"/>
        <w:gridCol w:w="5812"/>
      </w:tblGrid>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shd w:val="clear" w:color="000000" w:fill="FDE9D9"/>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201" w:type="dxa"/>
            <w:tcBorders>
              <w:top w:val="single" w:color="auto" w:sz="4" w:space="0"/>
              <w:left w:val="nil"/>
              <w:bottom w:val="single" w:color="auto" w:sz="4" w:space="0"/>
              <w:right w:val="single" w:color="auto" w:sz="4" w:space="0"/>
            </w:tcBorders>
            <w:shd w:val="clear" w:color="000000" w:fill="FDE9D9"/>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w:t>
            </w:r>
          </w:p>
        </w:tc>
        <w:tc>
          <w:tcPr>
            <w:tcW w:w="5812" w:type="dxa"/>
            <w:tcBorders>
              <w:top w:val="single" w:color="auto" w:sz="4" w:space="0"/>
              <w:left w:val="nil"/>
              <w:bottom w:val="single" w:color="auto" w:sz="4" w:space="0"/>
              <w:right w:val="single" w:color="auto" w:sz="4" w:space="0"/>
            </w:tcBorders>
            <w:shd w:val="clear" w:color="000000" w:fill="FDE9D9"/>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2200W双路智能插座</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输入电压</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AC220V/50HZ</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输出电压</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AC220V/50HZ</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最大承载电流</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10A（2200W）</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五孔插座标准</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GB/T1002-2008;GB/T20910.4-2008</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联网方式</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4G全网通</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从机通信</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标准RS485通讯</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待机功率</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w:t>
            </w:r>
          </w:p>
        </w:tc>
      </w:tr>
      <w:tr>
        <w:tblPrEx>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费率设置</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可根据需求灵活设置充电时间和扣费金额</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计费方式</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按时间/功率时间/电量计费</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扣费方式</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实时扣费结算</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设备尺寸</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215*92*46mm</w:t>
            </w:r>
          </w:p>
        </w:tc>
      </w:tr>
      <w:tr>
        <w:tblPrEx>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12</w:t>
            </w:r>
          </w:p>
        </w:tc>
        <w:tc>
          <w:tcPr>
            <w:tcW w:w="2201"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IC卡</w:t>
            </w:r>
          </w:p>
        </w:tc>
        <w:tc>
          <w:tcPr>
            <w:tcW w:w="5812"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支持在线卡片充值</w:t>
            </w:r>
          </w:p>
        </w:tc>
      </w:tr>
    </w:tbl>
    <w:p>
      <w:pPr>
        <w:widowControl/>
        <w:spacing w:line="360" w:lineRule="auto"/>
        <w:ind w:firstLine="482" w:firstLineChars="200"/>
        <w:jc w:val="left"/>
        <w:rPr>
          <w:rFonts w:cs="宋体" w:asciiTheme="minorEastAsia" w:hAnsiTheme="minorEastAsia"/>
          <w:b/>
          <w:bCs/>
          <w:kern w:val="0"/>
          <w:sz w:val="24"/>
          <w:szCs w:val="24"/>
        </w:rPr>
      </w:pPr>
      <w:bookmarkStart w:id="1" w:name="_Toc3556"/>
      <w:bookmarkStart w:id="2" w:name="_Toc491440324"/>
      <w:r>
        <w:rPr>
          <w:rFonts w:hint="eastAsia" w:cs="宋体" w:asciiTheme="minorEastAsia" w:hAnsiTheme="minorEastAsia"/>
          <w:b/>
          <w:bCs/>
          <w:kern w:val="0"/>
          <w:sz w:val="24"/>
          <w:szCs w:val="24"/>
        </w:rPr>
        <w:t>（3）关键技术设计说明</w:t>
      </w:r>
      <w:bookmarkEnd w:id="1"/>
      <w:bookmarkEnd w:id="2"/>
    </w:p>
    <w:p>
      <w:pPr>
        <w:widowControl/>
        <w:spacing w:line="360" w:lineRule="auto"/>
        <w:ind w:firstLine="482" w:firstLineChars="20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①用户体验度高，减少安全隐患</w:t>
      </w:r>
    </w:p>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具有独立的“电动车充电公共服务平台”使用移动智能终端替代充电充值卡和投币机，硬件设备接收智能终端的控制指令，用户可通过移动智能终端与硬件设备进行交互和控制，及时方便，增强和用户体验性。系统能接收来自硬件设备主动上报的数据和异常信息，降低了安全隐患。</w:t>
      </w:r>
    </w:p>
    <w:p>
      <w:pPr>
        <w:widowControl/>
        <w:spacing w:line="360" w:lineRule="auto"/>
        <w:ind w:firstLine="482" w:firstLineChars="20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②施工简单，节约成本，运维管理方便</w:t>
      </w:r>
    </w:p>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宜点充智能充电插座施工布线简单，设备运行问题故障实时提醒。</w:t>
      </w:r>
    </w:p>
    <w:p>
      <w:pPr>
        <w:widowControl/>
        <w:spacing w:line="360" w:lineRule="auto"/>
        <w:ind w:firstLine="482" w:firstLineChars="20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③使用简化的网络通信协议</w:t>
      </w:r>
    </w:p>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使硬件设备和服务器建立稳定的通信通道，提高设备的接收和发送信息的及时性和稳定性。保证用户快速、及时接收信息。</w:t>
      </w:r>
    </w:p>
    <w:p>
      <w:pPr>
        <w:widowControl/>
        <w:numPr>
          <w:ilvl w:val="0"/>
          <w:numId w:val="1"/>
        </w:numPr>
        <w:spacing w:line="360" w:lineRule="auto"/>
        <w:ind w:left="0"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硬件设备故障自恢复。定期自动检查硬件设备是否能正常工作，遇到系统故障调用看门狗对系统自动恢复，可以保证设备实时正常运行。</w:t>
      </w:r>
    </w:p>
    <w:p>
      <w:pPr>
        <w:widowControl/>
        <w:numPr>
          <w:ilvl w:val="0"/>
          <w:numId w:val="1"/>
        </w:numPr>
        <w:spacing w:line="360" w:lineRule="auto"/>
        <w:ind w:left="0"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设置最长充电时间。默认最长充电时长为12小时，防止因为其他原因导致电动车过充造成安全事故。</w:t>
      </w:r>
    </w:p>
    <w:p>
      <w:pPr>
        <w:widowControl/>
        <w:numPr>
          <w:ilvl w:val="0"/>
          <w:numId w:val="1"/>
        </w:numPr>
        <w:spacing w:line="360" w:lineRule="auto"/>
        <w:ind w:left="0"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硬件设备状态的实时上报。设备通过网络通讯协议实时上报当前设备状态。通过设备状态的监控，实时提醒管理人员和设备维护人员及时处理硬件问题。提高了设备的利用率和安全性。</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本产品采取智能充电，支持刷卡及网络付费功能，充电过程可利用系统进行记录、追溯、分析，系统稳定，投诉率低，市场上无相关负面新闻.</w:t>
      </w:r>
    </w:p>
    <w:p>
      <w:pPr>
        <w:widowControl/>
        <w:spacing w:line="360" w:lineRule="auto"/>
        <w:ind w:firstLine="440" w:firstLineChars="200"/>
        <w:jc w:val="left"/>
        <w:rPr>
          <w:rFonts w:ascii="宋体" w:hAnsi="宋体" w:eastAsia="微软雅黑" w:cs="宋体"/>
          <w:b/>
          <w:bCs/>
          <w:kern w:val="0"/>
          <w:sz w:val="22"/>
        </w:rPr>
      </w:pPr>
      <w:r>
        <w:rPr>
          <w:rFonts w:hint="eastAsia" w:ascii="宋体" w:hAnsi="宋体" w:eastAsia="微软雅黑" w:cs="宋体"/>
          <w:b/>
          <w:bCs/>
          <w:kern w:val="0"/>
          <w:sz w:val="22"/>
        </w:rPr>
        <w:br w:type="page"/>
      </w:r>
    </w:p>
    <w:p>
      <w:pPr>
        <w:keepNext/>
        <w:keepLines/>
        <w:spacing w:line="360" w:lineRule="auto"/>
        <w:outlineLvl w:val="1"/>
        <w:rPr>
          <w:rFonts w:cs="宋体" w:asciiTheme="minorEastAsia" w:hAnsiTheme="minorEastAsia"/>
          <w:b/>
          <w:bCs/>
          <w:kern w:val="0"/>
          <w:sz w:val="24"/>
          <w:szCs w:val="24"/>
        </w:rPr>
      </w:pPr>
      <w:bookmarkStart w:id="3" w:name="_Toc40399104"/>
      <w:r>
        <w:rPr>
          <w:rFonts w:hint="eastAsia" w:cs="宋体" w:asciiTheme="minorEastAsia" w:hAnsiTheme="minorEastAsia"/>
          <w:b/>
          <w:bCs/>
          <w:kern w:val="0"/>
          <w:sz w:val="32"/>
          <w:szCs w:val="32"/>
        </w:rPr>
        <w:drawing>
          <wp:anchor distT="0" distB="0" distL="114300" distR="114300" simplePos="0" relativeHeight="251656192" behindDoc="0" locked="0" layoutInCell="1" allowOverlap="1">
            <wp:simplePos x="0" y="0"/>
            <wp:positionH relativeFrom="column">
              <wp:posOffset>-142875</wp:posOffset>
            </wp:positionH>
            <wp:positionV relativeFrom="paragraph">
              <wp:posOffset>4238625</wp:posOffset>
            </wp:positionV>
            <wp:extent cx="5705475" cy="362902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5705475" cy="3629025"/>
                    </a:xfrm>
                    <a:prstGeom prst="rect">
                      <a:avLst/>
                    </a:prstGeom>
                    <a:noFill/>
                    <a:ln>
                      <a:noFill/>
                    </a:ln>
                  </pic:spPr>
                </pic:pic>
              </a:graphicData>
            </a:graphic>
          </wp:anchor>
        </w:drawing>
      </w:r>
      <w:r>
        <w:rPr>
          <w:rFonts w:hint="eastAsia" w:cs="宋体" w:asciiTheme="minorEastAsia" w:hAnsiTheme="minorEastAsia"/>
          <w:b/>
          <w:bCs/>
          <w:kern w:val="0"/>
          <w:sz w:val="32"/>
          <w:szCs w:val="32"/>
        </w:rPr>
        <w:drawing>
          <wp:anchor distT="0" distB="0" distL="114300" distR="114300" simplePos="0" relativeHeight="251659264" behindDoc="0" locked="0" layoutInCell="1" allowOverlap="1">
            <wp:simplePos x="0" y="0"/>
            <wp:positionH relativeFrom="column">
              <wp:posOffset>-161925</wp:posOffset>
            </wp:positionH>
            <wp:positionV relativeFrom="paragraph">
              <wp:posOffset>342900</wp:posOffset>
            </wp:positionV>
            <wp:extent cx="5739130" cy="390525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5739130" cy="3905250"/>
                    </a:xfrm>
                    <a:prstGeom prst="rect">
                      <a:avLst/>
                    </a:prstGeom>
                    <a:noFill/>
                    <a:ln>
                      <a:noFill/>
                    </a:ln>
                  </pic:spPr>
                </pic:pic>
              </a:graphicData>
            </a:graphic>
          </wp:anchor>
        </w:drawing>
      </w:r>
      <w:r>
        <w:rPr>
          <w:rFonts w:hint="eastAsia" w:cs="宋体" w:asciiTheme="minorEastAsia" w:hAnsiTheme="minorEastAsia"/>
          <w:b/>
          <w:bCs/>
          <w:kern w:val="0"/>
          <w:sz w:val="24"/>
          <w:szCs w:val="24"/>
        </w:rPr>
        <w:t>1.</w:t>
      </w:r>
      <w:r>
        <w:rPr>
          <w:rFonts w:cs="宋体" w:asciiTheme="minorEastAsia" w:hAnsiTheme="minorEastAsia"/>
          <w:b/>
          <w:bCs/>
          <w:kern w:val="0"/>
          <w:sz w:val="24"/>
          <w:szCs w:val="24"/>
        </w:rPr>
        <w:t>2</w:t>
      </w:r>
      <w:r>
        <w:rPr>
          <w:rFonts w:hint="eastAsia" w:cs="宋体" w:asciiTheme="minorEastAsia" w:hAnsiTheme="minorEastAsia"/>
          <w:b/>
          <w:bCs/>
          <w:kern w:val="0"/>
          <w:sz w:val="24"/>
          <w:szCs w:val="24"/>
        </w:rPr>
        <w:t>设备功能先进性</w:t>
      </w:r>
      <w:bookmarkEnd w:id="3"/>
    </w:p>
    <w:p>
      <w:pPr>
        <w:spacing w:line="360" w:lineRule="auto"/>
        <w:ind w:firstLine="420" w:firstLineChars="200"/>
        <w:rPr>
          <w:rFonts w:ascii="宋体" w:hAnsi="宋体" w:eastAsia="宋体" w:cs="宋体"/>
          <w:kern w:val="0"/>
          <w:sz w:val="20"/>
          <w:szCs w:val="21"/>
        </w:rPr>
      </w:pPr>
      <w:r>
        <w:rPr>
          <w:rFonts w:hint="eastAsia" w:ascii="宋体" w:hAnsi="宋体" w:eastAsia="宋体" w:cs="宋体"/>
          <w:kern w:val="0"/>
          <w:szCs w:val="21"/>
        </w:rPr>
        <w:t xml:space="preserve">   </w:t>
      </w:r>
    </w:p>
    <w:p>
      <w:pPr>
        <w:spacing w:line="360" w:lineRule="auto"/>
        <w:ind w:firstLine="420" w:firstLineChars="200"/>
        <w:rPr>
          <w:rFonts w:ascii="宋体" w:hAnsi="宋体" w:eastAsia="宋体" w:cs="宋体"/>
          <w:kern w:val="0"/>
          <w:sz w:val="20"/>
          <w:szCs w:val="21"/>
        </w:rPr>
      </w:pPr>
      <w:r>
        <w:rPr>
          <w:rFonts w:hint="eastAsia" w:ascii="宋体" w:hAnsi="宋体" w:eastAsia="宋体" w:cs="宋体"/>
          <w:kern w:val="0"/>
          <w:szCs w:val="21"/>
        </w:rPr>
        <w:br w:type="page"/>
      </w:r>
    </w:p>
    <w:p>
      <w:pPr>
        <w:keepNext/>
        <w:keepLines/>
        <w:spacing w:line="360" w:lineRule="auto"/>
        <w:outlineLvl w:val="1"/>
        <w:rPr>
          <w:rFonts w:cs="宋体" w:asciiTheme="minorEastAsia" w:hAnsiTheme="minorEastAsia"/>
          <w:b/>
          <w:bCs/>
          <w:kern w:val="0"/>
          <w:sz w:val="24"/>
          <w:szCs w:val="24"/>
        </w:rPr>
      </w:pPr>
      <w:bookmarkStart w:id="4" w:name="_Toc40399105"/>
      <w:r>
        <w:rPr>
          <w:rFonts w:hint="eastAsia" w:cs="宋体" w:asciiTheme="minorEastAsia" w:hAnsiTheme="minorEastAsia"/>
          <w:b/>
          <w:bCs/>
          <w:kern w:val="0"/>
          <w:sz w:val="24"/>
          <w:szCs w:val="24"/>
        </w:rPr>
        <w:t>1.3技术性能先进性对比</w:t>
      </w:r>
      <w:bookmarkEnd w:id="4"/>
    </w:p>
    <w:tbl>
      <w:tblPr>
        <w:tblStyle w:val="8"/>
        <w:tblW w:w="0" w:type="auto"/>
        <w:tblInd w:w="113" w:type="dxa"/>
        <w:tblLayout w:type="autofit"/>
        <w:tblCellMar>
          <w:top w:w="0" w:type="dxa"/>
          <w:left w:w="108" w:type="dxa"/>
          <w:bottom w:w="0" w:type="dxa"/>
          <w:right w:w="108" w:type="dxa"/>
        </w:tblCellMar>
      </w:tblPr>
      <w:tblGrid>
        <w:gridCol w:w="988"/>
        <w:gridCol w:w="3414"/>
        <w:gridCol w:w="555"/>
        <w:gridCol w:w="4003"/>
        <w:gridCol w:w="555"/>
      </w:tblGrid>
      <w:tr>
        <w:tblPrEx>
          <w:tblCellMar>
            <w:top w:w="0" w:type="dxa"/>
            <w:left w:w="108" w:type="dxa"/>
            <w:bottom w:w="0" w:type="dxa"/>
            <w:right w:w="108" w:type="dxa"/>
          </w:tblCellMar>
        </w:tblPrEx>
        <w:trPr>
          <w:trHeight w:val="660"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w:t>
            </w:r>
          </w:p>
        </w:tc>
        <w:tc>
          <w:tcPr>
            <w:tcW w:w="3414" w:type="dxa"/>
            <w:tcBorders>
              <w:top w:val="single" w:color="auto" w:sz="4" w:space="0"/>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宜点充智能独立插座</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响应</w:t>
            </w:r>
          </w:p>
        </w:tc>
        <w:tc>
          <w:tcPr>
            <w:tcW w:w="0" w:type="auto"/>
            <w:tcBorders>
              <w:top w:val="single" w:color="auto" w:sz="4" w:space="0"/>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传统充电箱</w:t>
            </w:r>
          </w:p>
        </w:tc>
        <w:tc>
          <w:tcPr>
            <w:tcW w:w="0" w:type="auto"/>
            <w:tcBorders>
              <w:top w:val="single" w:color="auto" w:sz="4" w:space="0"/>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响应</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大功率充电</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国标5孔10A插座，支持2000W，满足低速二轮三轮四轮电动车充电。</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标准功率300W，主机需另外采购插座（一般赠送插座5元左右，故障率高）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否</w:t>
            </w:r>
          </w:p>
        </w:tc>
      </w:tr>
      <w:tr>
        <w:trPr>
          <w:trHeight w:val="660" w:hRule="atLeast"/>
        </w:trPr>
        <w:tc>
          <w:tcPr>
            <w:tcW w:w="98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模块化组网</w:t>
            </w:r>
          </w:p>
        </w:tc>
        <w:tc>
          <w:tcPr>
            <w:tcW w:w="341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模块化设计，2-40端口任意组网，适用任意车棚长度和安装密度。</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vMerge w:val="restart"/>
            <w:tcBorders>
              <w:top w:val="nil"/>
              <w:left w:val="single" w:color="auto" w:sz="4" w:space="0"/>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10端口、16端口、20端口、32端口一组，现场适用性有局限性。</w:t>
            </w:r>
          </w:p>
        </w:tc>
        <w:tc>
          <w:tcPr>
            <w:tcW w:w="0" w:type="auto"/>
            <w:vMerge w:val="restart"/>
            <w:tcBorders>
              <w:top w:val="nil"/>
              <w:left w:val="single" w:color="auto" w:sz="4" w:space="0"/>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否</w:t>
            </w:r>
          </w:p>
        </w:tc>
      </w:tr>
      <w:tr>
        <w:tblPrEx>
          <w:tblCellMar>
            <w:top w:w="0" w:type="dxa"/>
            <w:left w:w="108" w:type="dxa"/>
            <w:bottom w:w="0" w:type="dxa"/>
            <w:right w:w="108" w:type="dxa"/>
          </w:tblCellMar>
        </w:tblPrEx>
        <w:trPr>
          <w:trHeight w:val="66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spacing w:line="312" w:lineRule="auto"/>
              <w:jc w:val="left"/>
              <w:rPr>
                <w:rFonts w:cs="宋体" w:asciiTheme="minorEastAsia" w:hAnsiTheme="minorEastAsia"/>
                <w:kern w:val="0"/>
                <w:sz w:val="24"/>
                <w:szCs w:val="24"/>
              </w:rPr>
            </w:pPr>
          </w:p>
        </w:tc>
        <w:tc>
          <w:tcPr>
            <w:tcW w:w="3414" w:type="dxa"/>
            <w:vMerge w:val="continue"/>
            <w:tcBorders>
              <w:top w:val="nil"/>
              <w:left w:val="single" w:color="auto" w:sz="4" w:space="0"/>
              <w:bottom w:val="single" w:color="auto" w:sz="4" w:space="0"/>
              <w:right w:val="single" w:color="auto" w:sz="4" w:space="0"/>
            </w:tcBorders>
            <w:vAlign w:val="center"/>
          </w:tcPr>
          <w:p>
            <w:pPr>
              <w:widowControl/>
              <w:spacing w:line="312" w:lineRule="auto"/>
              <w:jc w:val="left"/>
              <w:rPr>
                <w:rFonts w:cs="宋体" w:asciiTheme="minorEastAsia" w:hAnsiTheme="minorEastAsia"/>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12" w:lineRule="auto"/>
              <w:jc w:val="left"/>
              <w:rPr>
                <w:rFonts w:cs="宋体" w:asciiTheme="minorEastAsia" w:hAnsiTheme="minorEastAsia"/>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12" w:lineRule="auto"/>
              <w:jc w:val="left"/>
              <w:rPr>
                <w:rFonts w:cs="宋体" w:asciiTheme="minorEastAsia" w:hAnsiTheme="minorEastAsia"/>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12" w:lineRule="auto"/>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计费多样化</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自动检测功率，可按功率、按时间、按电量等多样化计费方式。</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计费方式单一</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一般</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易用性</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扫码即可开启充电，自动识别插座。</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需要在主机扫码，然后选择插座编号充电</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一般</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易维护</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每个插座均为独立控制主板，故障不影响该组其他插座运营。</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多路插座共用一个控制主板，故障需要整体更换，更换费用高，工作量大。</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一般</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易安装</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并联接线，只需布设2条主线和2条通信线共计4条线。</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单独接线，每个端口都需要按插座编号单独布线，至少不要布设11条电源线。</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差</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多场景适用</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适用多种场景，车棚、挂墙、立柱、桥架，露天或非露天，全环境支持。</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必须直线安装，对露天环境适用性差。</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一般</w:t>
            </w:r>
          </w:p>
        </w:tc>
      </w:tr>
      <w:tr>
        <w:tblPrEx>
          <w:tblCellMar>
            <w:top w:w="0" w:type="dxa"/>
            <w:left w:w="108" w:type="dxa"/>
            <w:bottom w:w="0" w:type="dxa"/>
            <w:right w:w="108" w:type="dxa"/>
          </w:tblCellMar>
        </w:tblPrEx>
        <w:trPr>
          <w:trHeight w:val="6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美观性</w:t>
            </w:r>
          </w:p>
        </w:tc>
        <w:tc>
          <w:tcPr>
            <w:tcW w:w="3414" w:type="dxa"/>
            <w:tcBorders>
              <w:top w:val="nil"/>
              <w:left w:val="nil"/>
              <w:bottom w:val="single" w:color="auto" w:sz="4" w:space="0"/>
              <w:right w:val="single" w:color="auto" w:sz="4" w:space="0"/>
            </w:tcBorders>
            <w:shd w:val="clear" w:color="000000" w:fill="FFFFFF"/>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统一工业设计，简洁美观，各环境下产品统一、保持一致性、声光提醒。</w:t>
            </w:r>
          </w:p>
        </w:tc>
        <w:tc>
          <w:tcPr>
            <w:tcW w:w="0" w:type="auto"/>
            <w:tcBorders>
              <w:top w:val="nil"/>
              <w:left w:val="nil"/>
              <w:bottom w:val="single" w:color="auto" w:sz="4" w:space="0"/>
              <w:right w:val="single" w:color="auto" w:sz="4" w:space="0"/>
            </w:tcBorders>
            <w:shd w:val="clear" w:color="000000" w:fill="FFFFFF"/>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优</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一致性较弱，不同的规格外观不一致。</w:t>
            </w:r>
          </w:p>
        </w:tc>
        <w:tc>
          <w:tcPr>
            <w:tcW w:w="0" w:type="auto"/>
            <w:tcBorders>
              <w:top w:val="nil"/>
              <w:left w:val="nil"/>
              <w:bottom w:val="single" w:color="auto" w:sz="4" w:space="0"/>
              <w:right w:val="single" w:color="auto" w:sz="4" w:space="0"/>
            </w:tcBorders>
            <w:shd w:val="clear" w:color="000000" w:fill="DCD8C2"/>
            <w:vAlign w:val="center"/>
          </w:tcPr>
          <w:p>
            <w:pPr>
              <w:widowControl/>
              <w:spacing w:line="312"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一般</w:t>
            </w:r>
          </w:p>
        </w:tc>
      </w:tr>
    </w:tbl>
    <w:p>
      <w:pPr>
        <w:spacing w:after="120" w:line="360" w:lineRule="auto"/>
        <w:ind w:left="420" w:leftChars="200" w:firstLine="400" w:firstLineChars="200"/>
        <w:rPr>
          <w:rFonts w:ascii="宋体" w:hAnsi="宋体" w:eastAsia="宋体" w:cs="宋体"/>
          <w:kern w:val="0"/>
          <w:sz w:val="20"/>
          <w:szCs w:val="21"/>
        </w:rPr>
      </w:pPr>
    </w:p>
    <w:p>
      <w:pPr>
        <w:keepNext/>
        <w:keepLines/>
        <w:spacing w:line="360" w:lineRule="auto"/>
        <w:outlineLvl w:val="1"/>
        <w:rPr>
          <w:rFonts w:cs="宋体" w:asciiTheme="minorEastAsia" w:hAnsiTheme="minorEastAsia"/>
          <w:b/>
          <w:bCs/>
          <w:kern w:val="0"/>
          <w:sz w:val="24"/>
          <w:szCs w:val="24"/>
        </w:rPr>
      </w:pPr>
      <w:r>
        <w:rPr>
          <w:rFonts w:hint="eastAsia" w:ascii="宋体" w:hAnsi="宋体" w:eastAsia="微软雅黑" w:cs="宋体"/>
          <w:b/>
          <w:bCs/>
          <w:kern w:val="0"/>
          <w:sz w:val="22"/>
          <w:szCs w:val="21"/>
        </w:rPr>
        <w:br w:type="page"/>
      </w:r>
      <w:bookmarkStart w:id="5" w:name="_Toc40399106"/>
      <w:r>
        <w:rPr>
          <w:rFonts w:hint="eastAsia" w:cs="宋体" w:asciiTheme="minorEastAsia" w:hAnsiTheme="minorEastAsia"/>
          <w:b/>
          <w:bCs/>
          <w:kern w:val="0"/>
          <w:sz w:val="24"/>
          <w:szCs w:val="24"/>
        </w:rPr>
        <w:t>1.</w:t>
      </w:r>
      <w:r>
        <w:rPr>
          <w:rFonts w:cs="宋体" w:asciiTheme="minorEastAsia" w:hAnsiTheme="minorEastAsia"/>
          <w:b/>
          <w:bCs/>
          <w:kern w:val="0"/>
          <w:sz w:val="24"/>
          <w:szCs w:val="24"/>
        </w:rPr>
        <w:t>4</w:t>
      </w:r>
      <w:r>
        <w:rPr>
          <w:rFonts w:hint="eastAsia" w:cs="宋体" w:asciiTheme="minorEastAsia" w:hAnsiTheme="minorEastAsia"/>
          <w:b/>
          <w:bCs/>
          <w:kern w:val="0"/>
          <w:sz w:val="24"/>
          <w:szCs w:val="24"/>
        </w:rPr>
        <w:t>产品性能亮点及功能亮点</w:t>
      </w:r>
      <w:bookmarkEnd w:id="5"/>
    </w:p>
    <w:tbl>
      <w:tblPr>
        <w:tblStyle w:val="9"/>
        <w:tblW w:w="4528" w:type="pct"/>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设备全部采用</w:t>
            </w:r>
            <w:r>
              <w:rPr>
                <w:rFonts w:hint="eastAsia" w:cs="宋体" w:asciiTheme="minorEastAsia" w:hAnsiTheme="minorEastAsia"/>
                <w:color w:val="FF0000"/>
                <w:sz w:val="24"/>
                <w:szCs w:val="24"/>
              </w:rPr>
              <w:t>4G+全网通模块</w:t>
            </w:r>
            <w:r>
              <w:rPr>
                <w:rFonts w:hint="eastAsia" w:cs="宋体" w:asciiTheme="minorEastAsia" w:hAnsiTheme="minorEastAsia"/>
                <w:sz w:val="24"/>
                <w:szCs w:val="24"/>
              </w:rPr>
              <w:t>（支持移动、联通、电信4G）。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设备智能语音播报</w:t>
            </w:r>
            <w:r>
              <w:rPr>
                <w:rFonts w:hint="eastAsia" w:cs="宋体" w:asciiTheme="minorEastAsia" w:hAnsiTheme="minorEastAsia"/>
                <w:sz w:val="24"/>
                <w:szCs w:val="24"/>
              </w:rPr>
              <w:t>，提示用户充电过程信息，包括：</w:t>
            </w:r>
            <w:r>
              <w:rPr>
                <w:rFonts w:hint="eastAsia" w:cs="宋体" w:asciiTheme="minorEastAsia" w:hAnsiTheme="minorEastAsia"/>
                <w:sz w:val="24"/>
                <w:szCs w:val="24"/>
              </w:rPr>
              <w:br w:type="textWrapping"/>
            </w:r>
            <w:r>
              <w:rPr>
                <w:rFonts w:hint="eastAsia" w:cs="宋体" w:asciiTheme="minorEastAsia" w:hAnsiTheme="minorEastAsia"/>
                <w:sz w:val="24"/>
                <w:szCs w:val="24"/>
              </w:rPr>
              <w:t>充电器连接异常、充电功率过载、充电成功、刷卡成功等。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设备可通过</w:t>
            </w:r>
            <w:r>
              <w:rPr>
                <w:rFonts w:hint="eastAsia" w:cs="宋体" w:asciiTheme="minorEastAsia" w:hAnsiTheme="minorEastAsia"/>
                <w:color w:val="FF0000"/>
                <w:sz w:val="24"/>
                <w:szCs w:val="24"/>
              </w:rPr>
              <w:t>指示灯显示当前网络状态</w:t>
            </w:r>
            <w:r>
              <w:rPr>
                <w:rFonts w:hint="eastAsia" w:cs="宋体" w:asciiTheme="minorEastAsia" w:hAnsiTheme="minorEastAsia"/>
                <w:sz w:val="24"/>
                <w:szCs w:val="24"/>
              </w:rPr>
              <w:t>：包括搜寻基站、连上基站、连上服务器、登录成功。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微信公众号显示信息</w:t>
            </w:r>
            <w:r>
              <w:rPr>
                <w:rFonts w:hint="eastAsia" w:cs="宋体" w:asciiTheme="minorEastAsia" w:hAnsiTheme="minorEastAsia"/>
                <w:sz w:val="24"/>
                <w:szCs w:val="24"/>
              </w:rPr>
              <w:t>包括以下内容：</w:t>
            </w:r>
            <w:r>
              <w:rPr>
                <w:rFonts w:hint="eastAsia" w:cs="宋体" w:asciiTheme="minorEastAsia" w:hAnsiTheme="minorEastAsia"/>
                <w:sz w:val="24"/>
                <w:szCs w:val="24"/>
              </w:rPr>
              <w:br w:type="textWrapping"/>
            </w:r>
            <w:r>
              <w:rPr>
                <w:rFonts w:hint="eastAsia" w:cs="宋体" w:asciiTheme="minorEastAsia" w:hAnsiTheme="minorEastAsia"/>
                <w:sz w:val="24"/>
                <w:szCs w:val="24"/>
              </w:rPr>
              <w:t>--充电用时、耗电量、用时单价、电费单价、订单总价、历史订单、充值记录。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自动识别电池容量</w:t>
            </w:r>
            <w:r>
              <w:rPr>
                <w:rFonts w:hint="eastAsia" w:cs="宋体" w:asciiTheme="minorEastAsia" w:hAnsiTheme="minorEastAsia"/>
                <w:sz w:val="24"/>
                <w:szCs w:val="24"/>
              </w:rPr>
              <w:t>，并根据实时充电功率变化值识别涓流充电功率。具体为：涓流充电电流为电池容量的1/20,即0.05C，比要求的平均充电电流的20%更优。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最大充电时间可以通过后台配置</w:t>
            </w:r>
            <w:r>
              <w:rPr>
                <w:rFonts w:hint="eastAsia" w:cs="宋体" w:asciiTheme="minorEastAsia" w:hAnsiTheme="minorEastAsia"/>
                <w:sz w:val="24"/>
                <w:szCs w:val="24"/>
              </w:rPr>
              <w:t>；夏季电池活性强，8H即可，冬季，电池活性弱，可根据实际情况做调整。也可默认为8H。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在线刷卡功能</w:t>
            </w:r>
            <w:r>
              <w:rPr>
                <w:rFonts w:hint="eastAsia" w:cs="宋体" w:asciiTheme="minorEastAsia" w:hAnsiTheme="minorEastAsia"/>
                <w:sz w:val="24"/>
                <w:szCs w:val="24"/>
              </w:rPr>
              <w:t>，具体为：</w:t>
            </w:r>
            <w:r>
              <w:rPr>
                <w:rFonts w:hint="eastAsia" w:cs="宋体" w:asciiTheme="minorEastAsia" w:hAnsiTheme="minorEastAsia"/>
                <w:sz w:val="24"/>
                <w:szCs w:val="24"/>
              </w:rPr>
              <w:br w:type="textWrapping"/>
            </w:r>
            <w:r>
              <w:rPr>
                <w:rFonts w:hint="eastAsia" w:cs="宋体" w:asciiTheme="minorEastAsia" w:hAnsiTheme="minorEastAsia"/>
                <w:sz w:val="24"/>
                <w:szCs w:val="24"/>
              </w:rPr>
              <w:t>老年人等不会使用手机微信/APP等客户端时，可以提供给用户卡片，通过刷卡来充电。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预约充电功能，</w:t>
            </w:r>
            <w:r>
              <w:rPr>
                <w:rFonts w:hint="eastAsia" w:cs="宋体" w:asciiTheme="minorEastAsia" w:hAnsiTheme="minorEastAsia"/>
                <w:sz w:val="24"/>
                <w:szCs w:val="24"/>
              </w:rPr>
              <w:t>具体为：</w:t>
            </w:r>
            <w:r>
              <w:rPr>
                <w:rFonts w:hint="eastAsia" w:cs="宋体" w:asciiTheme="minorEastAsia" w:hAnsiTheme="minorEastAsia"/>
                <w:sz w:val="24"/>
                <w:szCs w:val="24"/>
              </w:rPr>
              <w:br w:type="textWrapping"/>
            </w:r>
            <w:r>
              <w:rPr>
                <w:rFonts w:hint="eastAsia" w:cs="宋体" w:asciiTheme="minorEastAsia" w:hAnsiTheme="minorEastAsia"/>
                <w:sz w:val="24"/>
                <w:szCs w:val="24"/>
              </w:rPr>
              <w:t>用户可在APP上预约充电插口充电，则此插口只能被此用户占用。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000" w:type="pct"/>
            <w:vAlign w:val="center"/>
          </w:tcPr>
          <w:p>
            <w:pPr>
              <w:widowControl/>
              <w:spacing w:line="360" w:lineRule="auto"/>
              <w:jc w:val="left"/>
              <w:rPr>
                <w:rFonts w:cs="宋体" w:asciiTheme="minorEastAsia" w:hAnsiTheme="minorEastAsia"/>
                <w:sz w:val="24"/>
                <w:szCs w:val="24"/>
              </w:rPr>
            </w:pPr>
            <w:r>
              <w:rPr>
                <w:rFonts w:hint="eastAsia" w:cs="宋体" w:asciiTheme="minorEastAsia" w:hAnsiTheme="minorEastAsia"/>
                <w:color w:val="FF0000"/>
                <w:sz w:val="24"/>
                <w:szCs w:val="24"/>
              </w:rPr>
              <w:t>通信隔离保护，</w:t>
            </w:r>
            <w:r>
              <w:rPr>
                <w:rFonts w:hint="eastAsia" w:cs="宋体" w:asciiTheme="minorEastAsia" w:hAnsiTheme="minorEastAsia"/>
                <w:sz w:val="24"/>
                <w:szCs w:val="24"/>
              </w:rPr>
              <w:t>具体为：</w:t>
            </w:r>
            <w:r>
              <w:rPr>
                <w:rFonts w:hint="eastAsia" w:cs="宋体" w:asciiTheme="minorEastAsia" w:hAnsiTheme="minorEastAsia"/>
                <w:sz w:val="24"/>
                <w:szCs w:val="24"/>
              </w:rPr>
              <w:br w:type="textWrapping"/>
            </w:r>
            <w:r>
              <w:rPr>
                <w:rFonts w:hint="eastAsia" w:cs="宋体" w:asciiTheme="minorEastAsia" w:hAnsiTheme="minorEastAsia"/>
                <w:sz w:val="24"/>
                <w:szCs w:val="24"/>
              </w:rPr>
              <w:t>设备之间通过485通信，设备集成了485隔离保护模块，如果某台设备故障，硬件会进行隔离保护，不会影响到其他设备的485通信。</w:t>
            </w:r>
          </w:p>
        </w:tc>
      </w:tr>
    </w:tbl>
    <w:p>
      <w:pPr>
        <w:widowControl/>
        <w:jc w:val="left"/>
        <w:rPr>
          <w:rFonts w:ascii="宋体" w:hAnsi="宋体" w:eastAsia="宋体" w:cs="宋体"/>
          <w:b/>
          <w:bCs/>
          <w:kern w:val="0"/>
          <w:sz w:val="24"/>
          <w:szCs w:val="24"/>
        </w:rPr>
      </w:pPr>
      <w:r>
        <w:rPr>
          <w:rFonts w:hAnsi="宋体" w:cs="宋体"/>
          <w:b/>
          <w:bCs/>
          <w:kern w:val="0"/>
          <w:sz w:val="24"/>
          <w:szCs w:val="24"/>
        </w:rPr>
        <w:br w:type="page"/>
      </w:r>
    </w:p>
    <w:p>
      <w:pPr>
        <w:pStyle w:val="3"/>
        <w:spacing w:line="336" w:lineRule="auto"/>
        <w:textAlignment w:val="top"/>
        <w:rPr>
          <w:rFonts w:hAnsi="宋体" w:cs="宋体"/>
          <w:b/>
          <w:bCs/>
          <w:kern w:val="0"/>
          <w:sz w:val="24"/>
          <w:szCs w:val="24"/>
        </w:rPr>
      </w:pPr>
      <w:r>
        <w:rPr>
          <w:rFonts w:hint="eastAsia" w:hAnsi="宋体" w:cs="宋体"/>
          <w:b/>
          <w:bCs/>
          <w:kern w:val="0"/>
          <w:sz w:val="24"/>
          <w:szCs w:val="24"/>
        </w:rPr>
        <w:t>附件2</w:t>
      </w:r>
      <w:r>
        <w:rPr>
          <w:rFonts w:hAnsi="宋体" w:cs="宋体"/>
          <w:b/>
          <w:bCs/>
          <w:kern w:val="0"/>
          <w:sz w:val="24"/>
          <w:szCs w:val="24"/>
        </w:rPr>
        <w:t>：</w:t>
      </w:r>
    </w:p>
    <w:p>
      <w:pPr>
        <w:pStyle w:val="3"/>
        <w:spacing w:before="156" w:beforeLines="50" w:after="156" w:afterLines="50" w:line="336" w:lineRule="auto"/>
        <w:jc w:val="center"/>
        <w:textAlignment w:val="top"/>
        <w:rPr>
          <w:rFonts w:hAnsi="宋体" w:cs="宋体"/>
          <w:b/>
          <w:bCs/>
          <w:kern w:val="0"/>
          <w:sz w:val="32"/>
          <w:szCs w:val="32"/>
        </w:rPr>
      </w:pPr>
      <w:r>
        <w:rPr>
          <w:rFonts w:hint="eastAsia" w:hAnsi="宋体" w:cs="宋体"/>
          <w:b/>
          <w:bCs/>
          <w:kern w:val="0"/>
          <w:sz w:val="32"/>
          <w:szCs w:val="32"/>
        </w:rPr>
        <w:t>比选</w:t>
      </w:r>
      <w:r>
        <w:rPr>
          <w:rFonts w:hAnsi="宋体" w:cs="宋体"/>
          <w:b/>
          <w:bCs/>
          <w:kern w:val="0"/>
          <w:sz w:val="32"/>
          <w:szCs w:val="32"/>
        </w:rPr>
        <w:t>标准</w:t>
      </w:r>
    </w:p>
    <w:p>
      <w:pPr>
        <w:pStyle w:val="3"/>
        <w:spacing w:line="360" w:lineRule="auto"/>
        <w:textAlignment w:val="top"/>
        <w:rPr>
          <w:rFonts w:hAnsi="宋体" w:cs="宋体"/>
          <w:b/>
          <w:bCs/>
          <w:kern w:val="0"/>
          <w:sz w:val="24"/>
          <w:szCs w:val="24"/>
        </w:rPr>
      </w:pPr>
      <w:r>
        <w:rPr>
          <w:rFonts w:hint="eastAsia" w:hAnsi="宋体" w:cs="宋体"/>
          <w:b/>
          <w:bCs/>
          <w:kern w:val="0"/>
          <w:sz w:val="24"/>
          <w:szCs w:val="24"/>
        </w:rPr>
        <w:t>一、评委构成</w:t>
      </w:r>
    </w:p>
    <w:p>
      <w:pPr>
        <w:spacing w:line="360" w:lineRule="auto"/>
        <w:ind w:firstLine="480" w:firstLineChars="200"/>
        <w:textAlignment w:val="top"/>
        <w:rPr>
          <w:rFonts w:ascii="宋体" w:hAnsi="宋体" w:cs="宋体"/>
          <w:b/>
          <w:kern w:val="0"/>
          <w:sz w:val="24"/>
          <w:szCs w:val="24"/>
        </w:rPr>
      </w:pPr>
      <w:r>
        <w:rPr>
          <w:rFonts w:hint="eastAsia" w:ascii="宋体" w:hAnsi="宋体" w:cs="宋体"/>
          <w:sz w:val="24"/>
          <w:szCs w:val="24"/>
        </w:rPr>
        <w:t>比选</w:t>
      </w:r>
      <w:r>
        <w:rPr>
          <w:rFonts w:ascii="宋体" w:hAnsi="宋体" w:cs="宋体"/>
          <w:sz w:val="24"/>
          <w:szCs w:val="24"/>
        </w:rPr>
        <w:t>评审</w:t>
      </w:r>
      <w:r>
        <w:rPr>
          <w:rFonts w:hint="eastAsia" w:ascii="宋体" w:hAnsi="宋体" w:cs="宋体"/>
          <w:sz w:val="24"/>
          <w:szCs w:val="24"/>
        </w:rPr>
        <w:t>小组由</w:t>
      </w:r>
      <w:r>
        <w:rPr>
          <w:rFonts w:ascii="宋体" w:hAnsi="宋体" w:cs="宋体"/>
          <w:color w:val="0000FF"/>
          <w:sz w:val="24"/>
          <w:szCs w:val="24"/>
        </w:rPr>
        <w:t>不少于</w:t>
      </w:r>
      <w:r>
        <w:rPr>
          <w:rFonts w:hint="eastAsia" w:ascii="宋体" w:hAnsi="宋体" w:cs="宋体"/>
          <w:color w:val="0000FF"/>
          <w:sz w:val="24"/>
          <w:szCs w:val="24"/>
        </w:rPr>
        <w:t>3人</w:t>
      </w:r>
      <w:r>
        <w:rPr>
          <w:rFonts w:ascii="宋体" w:hAnsi="宋体" w:cs="宋体"/>
          <w:sz w:val="24"/>
          <w:szCs w:val="24"/>
        </w:rPr>
        <w:t>的单数组成。</w:t>
      </w:r>
    </w:p>
    <w:p>
      <w:pPr>
        <w:pStyle w:val="3"/>
        <w:spacing w:line="360" w:lineRule="auto"/>
        <w:textAlignment w:val="top"/>
        <w:rPr>
          <w:rFonts w:hAnsi="宋体" w:cs="宋体"/>
          <w:b/>
          <w:bCs/>
          <w:kern w:val="0"/>
          <w:sz w:val="24"/>
          <w:szCs w:val="24"/>
        </w:rPr>
      </w:pPr>
      <w:r>
        <w:rPr>
          <w:rFonts w:hint="eastAsia" w:hAnsi="宋体" w:cs="宋体"/>
          <w:b/>
          <w:bCs/>
          <w:kern w:val="0"/>
          <w:sz w:val="24"/>
          <w:szCs w:val="24"/>
        </w:rPr>
        <w:t>二、比选方法</w:t>
      </w:r>
    </w:p>
    <w:p>
      <w:pPr>
        <w:spacing w:line="360" w:lineRule="auto"/>
        <w:ind w:firstLine="480" w:firstLineChars="200"/>
        <w:textAlignment w:val="top"/>
        <w:rPr>
          <w:rFonts w:ascii="宋体" w:hAnsi="宋体"/>
          <w:bCs/>
          <w:sz w:val="24"/>
          <w:szCs w:val="24"/>
          <w:lang w:bidi="ar"/>
        </w:rPr>
      </w:pPr>
      <w:r>
        <w:rPr>
          <w:rFonts w:hint="eastAsia" w:ascii="宋体" w:hAnsi="宋体"/>
          <w:bCs/>
          <w:sz w:val="24"/>
          <w:szCs w:val="24"/>
          <w:lang w:bidi="ar"/>
        </w:rPr>
        <w:t>（一）对进入详评的，采用百分制综合评分法。</w:t>
      </w:r>
    </w:p>
    <w:p>
      <w:pPr>
        <w:spacing w:line="360" w:lineRule="auto"/>
        <w:ind w:firstLine="480" w:firstLineChars="200"/>
        <w:textAlignment w:val="top"/>
        <w:rPr>
          <w:rFonts w:ascii="宋体" w:hAnsi="宋体"/>
          <w:bCs/>
          <w:sz w:val="24"/>
          <w:szCs w:val="24"/>
          <w:lang w:bidi="ar"/>
        </w:rPr>
      </w:pPr>
      <w:r>
        <w:rPr>
          <w:rFonts w:hint="eastAsia" w:ascii="宋体" w:hAnsi="宋体"/>
          <w:bCs/>
          <w:sz w:val="24"/>
          <w:szCs w:val="24"/>
          <w:lang w:bidi="ar"/>
        </w:rPr>
        <w:t>（二）计分办法（按四舍五入取至百分位）：</w:t>
      </w:r>
    </w:p>
    <w:p>
      <w:pPr>
        <w:pStyle w:val="3"/>
        <w:spacing w:line="360" w:lineRule="auto"/>
        <w:ind w:firstLine="482" w:firstLineChars="200"/>
        <w:textAlignment w:val="top"/>
        <w:rPr>
          <w:rFonts w:hAnsi="宋体" w:cs="宋体"/>
          <w:b/>
          <w:bCs/>
          <w:color w:val="0000FF"/>
          <w:kern w:val="0"/>
          <w:sz w:val="24"/>
          <w:szCs w:val="24"/>
        </w:rPr>
      </w:pPr>
      <w:r>
        <w:rPr>
          <w:rFonts w:hAnsi="宋体" w:cs="宋体"/>
          <w:b/>
          <w:bCs/>
          <w:color w:val="0000FF"/>
          <w:kern w:val="0"/>
          <w:sz w:val="24"/>
          <w:szCs w:val="24"/>
        </w:rPr>
        <w:t>1</w:t>
      </w:r>
      <w:r>
        <w:rPr>
          <w:rFonts w:hint="eastAsia" w:hAnsi="宋体" w:cs="宋体"/>
          <w:b/>
          <w:bCs/>
          <w:color w:val="0000FF"/>
          <w:kern w:val="0"/>
          <w:sz w:val="24"/>
          <w:szCs w:val="24"/>
        </w:rPr>
        <w:t>.价格分………………………………………………………………………………30分</w:t>
      </w:r>
    </w:p>
    <w:p>
      <w:pPr>
        <w:spacing w:line="360" w:lineRule="auto"/>
        <w:ind w:firstLine="480" w:firstLineChars="200"/>
        <w:textAlignment w:val="top"/>
        <w:rPr>
          <w:rFonts w:ascii="宋体" w:hAnsi="宋体"/>
          <w:bCs/>
          <w:color w:val="0000FF"/>
          <w:sz w:val="24"/>
          <w:szCs w:val="24"/>
          <w:lang w:bidi="ar"/>
        </w:rPr>
      </w:pPr>
      <w:r>
        <w:rPr>
          <w:rFonts w:hint="eastAsia" w:ascii="宋体" w:hAnsi="宋体"/>
          <w:bCs/>
          <w:color w:val="0000FF"/>
          <w:sz w:val="24"/>
          <w:szCs w:val="24"/>
          <w:lang w:bidi="ar"/>
        </w:rPr>
        <w:t>（1）以进入综合评分</w:t>
      </w:r>
      <w:r>
        <w:rPr>
          <w:rFonts w:ascii="宋体" w:hAnsi="宋体"/>
          <w:bCs/>
          <w:color w:val="0000FF"/>
          <w:sz w:val="24"/>
          <w:szCs w:val="24"/>
          <w:lang w:bidi="ar"/>
        </w:rPr>
        <w:t>环节</w:t>
      </w:r>
      <w:r>
        <w:rPr>
          <w:rFonts w:hint="eastAsia" w:ascii="宋体" w:hAnsi="宋体"/>
          <w:bCs/>
          <w:color w:val="0000FF"/>
          <w:sz w:val="24"/>
          <w:szCs w:val="24"/>
          <w:lang w:bidi="ar"/>
        </w:rPr>
        <w:t>的最高投标报价为</w:t>
      </w:r>
      <w:r>
        <w:rPr>
          <w:rFonts w:hint="eastAsia" w:ascii="宋体" w:hAnsi="宋体"/>
          <w:bCs/>
          <w:color w:val="0000FF"/>
          <w:sz w:val="24"/>
          <w:szCs w:val="24"/>
          <w:u w:val="single"/>
          <w:lang w:bidi="ar"/>
        </w:rPr>
        <w:t>30</w:t>
      </w:r>
      <w:r>
        <w:rPr>
          <w:rFonts w:hint="eastAsia" w:ascii="宋体" w:hAnsi="宋体"/>
          <w:bCs/>
          <w:color w:val="0000FF"/>
          <w:sz w:val="24"/>
          <w:szCs w:val="24"/>
          <w:lang w:bidi="ar"/>
        </w:rPr>
        <w:t>分。</w:t>
      </w:r>
    </w:p>
    <w:p>
      <w:pPr>
        <w:spacing w:before="156" w:beforeLines="50"/>
        <w:ind w:firstLine="3525" w:firstLineChars="1469"/>
        <w:rPr>
          <w:rFonts w:ascii="宋体" w:hAnsi="宋体" w:cs="Courier New"/>
          <w:bCs/>
          <w:color w:val="0000FF"/>
          <w:sz w:val="24"/>
          <w:szCs w:val="24"/>
        </w:rPr>
      </w:pPr>
      <w:r>
        <w:rPr>
          <w:rFonts w:hint="eastAsia" w:ascii="宋体" w:hAnsi="宋体" w:cs="Courier New"/>
          <w:bCs/>
          <w:color w:val="0000FF"/>
          <w:sz w:val="24"/>
          <w:szCs w:val="24"/>
        </w:rPr>
        <w:t>某供应商投标报价</w:t>
      </w:r>
    </w:p>
    <w:p>
      <w:pPr>
        <w:ind w:firstLine="480" w:firstLineChars="200"/>
        <w:rPr>
          <w:rFonts w:ascii="宋体" w:hAnsi="宋体"/>
          <w:color w:val="0000FF"/>
          <w:sz w:val="24"/>
          <w:szCs w:val="24"/>
        </w:rPr>
      </w:pPr>
      <w:r>
        <w:rPr>
          <w:color w:val="0000FF"/>
          <w:sz w:val="24"/>
          <w:szCs w:val="24"/>
        </w:rPr>
        <w:pict>
          <v:line id="Line 18" o:spid="_x0000_s1026" o:spt="20" style="position:absolute;left:0pt;margin-left:157.5pt;margin-top:6.15pt;height:0pt;width:125.8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2bFQIAACsEAAAOAAAAZHJzL2Uyb0RvYy54bWysU02P2jAQvVfqf7B8h3wssB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">
            <v:path arrowok="t"/>
            <v:fill focussize="0,0"/>
            <v:stroke/>
            <v:imagedata o:title=""/>
            <o:lock v:ext="edit"/>
          </v:line>
        </w:pict>
      </w:r>
      <w:r>
        <w:rPr>
          <w:rFonts w:hint="eastAsia" w:ascii="宋体" w:hAnsi="宋体"/>
          <w:color w:val="0000FF"/>
          <w:sz w:val="24"/>
          <w:szCs w:val="24"/>
        </w:rPr>
        <w:t>（2）某供应商价格分 =                        ×30分</w:t>
      </w:r>
    </w:p>
    <w:p>
      <w:pPr>
        <w:spacing w:after="156" w:afterLines="50"/>
        <w:ind w:firstLine="3360" w:firstLineChars="1400"/>
        <w:rPr>
          <w:rFonts w:ascii="宋体" w:hAnsi="宋体"/>
          <w:color w:val="0000FF"/>
          <w:sz w:val="24"/>
          <w:szCs w:val="24"/>
        </w:rPr>
      </w:pPr>
      <w:r>
        <w:rPr>
          <w:rFonts w:hint="eastAsia" w:ascii="宋体" w:hAnsi="宋体"/>
          <w:color w:val="0000FF"/>
          <w:sz w:val="24"/>
          <w:szCs w:val="24"/>
        </w:rPr>
        <w:t>供应商最高</w:t>
      </w:r>
      <w:r>
        <w:rPr>
          <w:rFonts w:ascii="宋体" w:hAnsi="宋体"/>
          <w:color w:val="0000FF"/>
          <w:sz w:val="24"/>
          <w:szCs w:val="24"/>
        </w:rPr>
        <w:t>投标报价</w:t>
      </w:r>
    </w:p>
    <w:p>
      <w:pPr>
        <w:spacing w:line="360" w:lineRule="auto"/>
        <w:ind w:firstLine="482" w:firstLineChars="200"/>
        <w:textAlignment w:val="top"/>
        <w:rPr>
          <w:rFonts w:ascii="宋体" w:hAnsi="宋体" w:cs="Courier New"/>
          <w:b/>
          <w:color w:val="0000FF"/>
          <w:sz w:val="24"/>
          <w:szCs w:val="24"/>
        </w:rPr>
      </w:pPr>
      <w:r>
        <w:rPr>
          <w:rFonts w:hint="eastAsia" w:ascii="宋体" w:hAnsi="宋体" w:cs="Courier New"/>
          <w:b/>
          <w:color w:val="0000FF"/>
          <w:sz w:val="24"/>
          <w:szCs w:val="24"/>
        </w:rPr>
        <w:t>2.</w:t>
      </w:r>
      <w:r>
        <w:rPr>
          <w:rFonts w:hint="eastAsia" w:ascii="宋体" w:hAnsi="宋体"/>
          <w:b/>
          <w:bCs/>
          <w:color w:val="0000FF"/>
          <w:spacing w:val="-12"/>
          <w:sz w:val="24"/>
          <w:szCs w:val="24"/>
        </w:rPr>
        <w:t>技术方案分…</w:t>
      </w:r>
      <w:r>
        <w:rPr>
          <w:rFonts w:hint="eastAsia" w:ascii="宋体" w:hAnsi="宋体" w:cs="Courier New"/>
          <w:b/>
          <w:color w:val="0000FF"/>
          <w:sz w:val="24"/>
          <w:szCs w:val="24"/>
        </w:rPr>
        <w:t>……………………………………</w:t>
      </w:r>
      <w:r>
        <w:rPr>
          <w:rFonts w:hint="eastAsia" w:ascii="宋体" w:hAnsi="宋体"/>
          <w:b/>
          <w:color w:val="0000FF"/>
          <w:sz w:val="24"/>
          <w:szCs w:val="24"/>
        </w:rPr>
        <w:t>……</w:t>
      </w:r>
      <w:r>
        <w:rPr>
          <w:rFonts w:hint="eastAsia" w:ascii="宋体" w:hAnsi="宋体" w:cs="Courier New"/>
          <w:b/>
          <w:color w:val="0000FF"/>
          <w:sz w:val="24"/>
          <w:szCs w:val="24"/>
        </w:rPr>
        <w:t>……………………</w:t>
      </w:r>
      <w:r>
        <w:rPr>
          <w:rFonts w:hint="eastAsia" w:ascii="宋体" w:hAnsi="宋体"/>
          <w:b/>
          <w:color w:val="0000FF"/>
          <w:sz w:val="24"/>
          <w:szCs w:val="24"/>
        </w:rPr>
        <w:t>………</w:t>
      </w:r>
      <w:r>
        <w:rPr>
          <w:rFonts w:ascii="宋体" w:hAnsi="宋体" w:cs="Courier New"/>
          <w:b/>
          <w:color w:val="0000FF"/>
          <w:sz w:val="24"/>
          <w:szCs w:val="24"/>
        </w:rPr>
        <w:t>60</w:t>
      </w:r>
      <w:r>
        <w:rPr>
          <w:rFonts w:hint="eastAsia" w:ascii="宋体" w:hAnsi="宋体" w:cs="Courier New"/>
          <w:b/>
          <w:color w:val="0000FF"/>
          <w:sz w:val="24"/>
          <w:szCs w:val="24"/>
        </w:rPr>
        <w:t>分</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（1）项目技术方案分（满分</w:t>
      </w:r>
      <w:r>
        <w:rPr>
          <w:rFonts w:ascii="宋体" w:hAnsi="宋体"/>
          <w:color w:val="0000FF"/>
          <w:sz w:val="24"/>
          <w:szCs w:val="24"/>
        </w:rPr>
        <w:t>36</w:t>
      </w:r>
      <w:r>
        <w:rPr>
          <w:rFonts w:hint="eastAsia" w:ascii="宋体" w:hAnsi="宋体"/>
          <w:color w:val="0000FF"/>
          <w:sz w:val="24"/>
          <w:szCs w:val="24"/>
        </w:rPr>
        <w:t>分）</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一档（0～</w:t>
      </w:r>
      <w:r>
        <w:rPr>
          <w:rFonts w:ascii="宋体" w:hAnsi="宋体"/>
          <w:color w:val="0000FF"/>
          <w:sz w:val="24"/>
          <w:szCs w:val="24"/>
        </w:rPr>
        <w:t>12</w:t>
      </w:r>
      <w:r>
        <w:rPr>
          <w:rFonts w:hint="eastAsia" w:ascii="宋体" w:hAnsi="宋体"/>
          <w:color w:val="0000FF"/>
          <w:sz w:val="24"/>
          <w:szCs w:val="24"/>
        </w:rPr>
        <w:t>分）：技术方案基本完整，但成果深度一般。对规划重点内容有一定的研究但缺乏深度，规划主要以文字描述为主，没有绘制图纸或虽然绘制了部分图纸，但内容深度达不到专项规划要求。</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二档（</w:t>
      </w:r>
      <w:r>
        <w:rPr>
          <w:rFonts w:ascii="宋体" w:hAnsi="宋体"/>
          <w:color w:val="0000FF"/>
          <w:sz w:val="24"/>
          <w:szCs w:val="24"/>
        </w:rPr>
        <w:t>12</w:t>
      </w:r>
      <w:r>
        <w:rPr>
          <w:rFonts w:hint="eastAsia" w:ascii="宋体" w:hAnsi="宋体"/>
          <w:color w:val="0000FF"/>
          <w:sz w:val="24"/>
          <w:szCs w:val="24"/>
        </w:rPr>
        <w:t>.1～</w:t>
      </w:r>
      <w:r>
        <w:rPr>
          <w:rFonts w:ascii="宋体" w:hAnsi="宋体"/>
          <w:color w:val="0000FF"/>
          <w:sz w:val="24"/>
          <w:szCs w:val="24"/>
        </w:rPr>
        <w:t>24</w:t>
      </w:r>
      <w:r>
        <w:rPr>
          <w:rFonts w:hint="eastAsia" w:ascii="宋体" w:hAnsi="宋体"/>
          <w:color w:val="0000FF"/>
          <w:sz w:val="24"/>
          <w:szCs w:val="24"/>
        </w:rPr>
        <w:t>分）：技术方案深度基本达到专项规划要求。对规划重点内容把握相对准确，工作思路相对清晰，规划主要内容不完整或分析不够详尽，仅完成部分规划图纸。</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三档（</w:t>
      </w:r>
      <w:r>
        <w:rPr>
          <w:rFonts w:ascii="宋体" w:hAnsi="宋体"/>
          <w:color w:val="0000FF"/>
          <w:sz w:val="24"/>
          <w:szCs w:val="24"/>
        </w:rPr>
        <w:t>24</w:t>
      </w:r>
      <w:r>
        <w:rPr>
          <w:rFonts w:hint="eastAsia" w:ascii="宋体" w:hAnsi="宋体"/>
          <w:color w:val="0000FF"/>
          <w:sz w:val="24"/>
          <w:szCs w:val="24"/>
        </w:rPr>
        <w:t>.1～</w:t>
      </w:r>
      <w:r>
        <w:rPr>
          <w:rFonts w:ascii="宋体" w:hAnsi="宋体"/>
          <w:color w:val="0000FF"/>
          <w:sz w:val="24"/>
          <w:szCs w:val="24"/>
        </w:rPr>
        <w:t>36</w:t>
      </w:r>
      <w:r>
        <w:rPr>
          <w:rFonts w:hint="eastAsia" w:ascii="宋体" w:hAnsi="宋体"/>
          <w:color w:val="0000FF"/>
          <w:sz w:val="24"/>
          <w:szCs w:val="24"/>
        </w:rPr>
        <w:t>分）：项目实施方案在对本设计类项目实施工作内容的概况、工作思路、项目组织机构、项目管理、工作重点、难点及其技术解决措施及进度保障措施、质量保障措施方面阐述全面，且实施方案的可行性及合理性强、措施的可行性、措施优越程度阐述到位，工作思路清晰，工作内容全面，技术方法合理，操作性强的。</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（2）服务承诺分（满分</w:t>
      </w:r>
      <w:r>
        <w:rPr>
          <w:rFonts w:ascii="宋体" w:hAnsi="宋体"/>
          <w:color w:val="0000FF"/>
          <w:sz w:val="24"/>
          <w:szCs w:val="24"/>
        </w:rPr>
        <w:t>24</w:t>
      </w:r>
      <w:r>
        <w:rPr>
          <w:rFonts w:hint="eastAsia" w:ascii="宋体" w:hAnsi="宋体"/>
          <w:color w:val="0000FF"/>
          <w:sz w:val="24"/>
          <w:szCs w:val="24"/>
        </w:rPr>
        <w:t>分）</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一档（0～</w:t>
      </w:r>
      <w:r>
        <w:rPr>
          <w:rFonts w:ascii="宋体" w:hAnsi="宋体"/>
          <w:color w:val="0000FF"/>
          <w:sz w:val="24"/>
          <w:szCs w:val="24"/>
        </w:rPr>
        <w:t>8</w:t>
      </w:r>
      <w:r>
        <w:rPr>
          <w:rFonts w:hint="eastAsia" w:ascii="宋体" w:hAnsi="宋体"/>
          <w:color w:val="0000FF"/>
          <w:sz w:val="24"/>
          <w:szCs w:val="24"/>
        </w:rPr>
        <w:t>分）：对本项目的服务没有正确理解与认识；表述不清晰或部分不具体。</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二档（</w:t>
      </w:r>
      <w:r>
        <w:rPr>
          <w:rFonts w:ascii="宋体" w:hAnsi="宋体"/>
          <w:color w:val="0000FF"/>
          <w:sz w:val="24"/>
          <w:szCs w:val="24"/>
        </w:rPr>
        <w:t>8</w:t>
      </w:r>
      <w:r>
        <w:rPr>
          <w:rFonts w:hint="eastAsia" w:ascii="宋体" w:hAnsi="宋体"/>
          <w:color w:val="0000FF"/>
          <w:sz w:val="24"/>
          <w:szCs w:val="24"/>
        </w:rPr>
        <w:t>.1～</w:t>
      </w:r>
      <w:r>
        <w:rPr>
          <w:rFonts w:ascii="宋体" w:hAnsi="宋体"/>
          <w:color w:val="0000FF"/>
          <w:sz w:val="24"/>
          <w:szCs w:val="24"/>
        </w:rPr>
        <w:t>16</w:t>
      </w:r>
      <w:r>
        <w:rPr>
          <w:rFonts w:hint="eastAsia" w:ascii="宋体" w:hAnsi="宋体"/>
          <w:color w:val="0000FF"/>
          <w:sz w:val="24"/>
          <w:szCs w:val="24"/>
        </w:rPr>
        <w:t>分）：对本项目的服务有正确理解与认识；表述清晰、完整，服务承诺基本满足项目要求。</w:t>
      </w:r>
    </w:p>
    <w:p>
      <w:pPr>
        <w:spacing w:line="360" w:lineRule="auto"/>
        <w:ind w:firstLine="480" w:firstLineChars="200"/>
        <w:textAlignment w:val="top"/>
        <w:rPr>
          <w:rFonts w:ascii="宋体" w:hAnsi="宋体"/>
          <w:color w:val="0000FF"/>
          <w:sz w:val="24"/>
          <w:szCs w:val="24"/>
        </w:rPr>
      </w:pPr>
      <w:r>
        <w:rPr>
          <w:rFonts w:hint="eastAsia" w:ascii="宋体" w:hAnsi="宋体"/>
          <w:color w:val="0000FF"/>
          <w:sz w:val="24"/>
          <w:szCs w:val="24"/>
        </w:rPr>
        <w:t>三档（1</w:t>
      </w:r>
      <w:r>
        <w:rPr>
          <w:rFonts w:ascii="宋体" w:hAnsi="宋体"/>
          <w:color w:val="0000FF"/>
          <w:sz w:val="24"/>
          <w:szCs w:val="24"/>
        </w:rPr>
        <w:t>6</w:t>
      </w:r>
      <w:r>
        <w:rPr>
          <w:rFonts w:hint="eastAsia" w:ascii="宋体" w:hAnsi="宋体"/>
          <w:color w:val="0000FF"/>
          <w:sz w:val="24"/>
          <w:szCs w:val="24"/>
        </w:rPr>
        <w:t>.1～</w:t>
      </w:r>
      <w:r>
        <w:rPr>
          <w:rFonts w:ascii="宋体" w:hAnsi="宋体"/>
          <w:color w:val="0000FF"/>
          <w:sz w:val="24"/>
          <w:szCs w:val="24"/>
        </w:rPr>
        <w:t>24</w:t>
      </w:r>
      <w:r>
        <w:rPr>
          <w:rFonts w:hint="eastAsia" w:ascii="宋体" w:hAnsi="宋体"/>
          <w:color w:val="0000FF"/>
          <w:sz w:val="24"/>
          <w:szCs w:val="24"/>
        </w:rPr>
        <w:t>分）：对项目的服务有正确深刻理解与充分认识；表述清晰、完整、严谨、合理、有效、成熟，服务承诺完全满足项目要求。</w:t>
      </w:r>
    </w:p>
    <w:p>
      <w:pPr>
        <w:spacing w:line="360" w:lineRule="auto"/>
        <w:ind w:firstLine="482" w:firstLineChars="200"/>
        <w:textAlignment w:val="top"/>
        <w:rPr>
          <w:rFonts w:ascii="宋体" w:hAnsi="宋体" w:cs="Courier New"/>
          <w:b/>
          <w:color w:val="0000FF"/>
          <w:sz w:val="24"/>
          <w:szCs w:val="24"/>
        </w:rPr>
      </w:pPr>
      <w:r>
        <w:rPr>
          <w:rFonts w:ascii="宋体" w:hAnsi="宋体" w:cs="Courier New"/>
          <w:b/>
          <w:color w:val="0000FF"/>
          <w:sz w:val="24"/>
          <w:szCs w:val="24"/>
        </w:rPr>
        <w:t>3</w:t>
      </w:r>
      <w:r>
        <w:rPr>
          <w:rFonts w:hint="eastAsia" w:ascii="宋体" w:hAnsi="宋体" w:cs="Courier New"/>
          <w:b/>
          <w:color w:val="0000FF"/>
          <w:sz w:val="24"/>
          <w:szCs w:val="24"/>
        </w:rPr>
        <w:t>.</w:t>
      </w:r>
      <w:r>
        <w:rPr>
          <w:rFonts w:hint="eastAsia" w:ascii="宋体" w:hAnsi="宋体"/>
          <w:b/>
          <w:bCs/>
          <w:color w:val="0000FF"/>
          <w:sz w:val="24"/>
          <w:szCs w:val="24"/>
        </w:rPr>
        <w:t>信誉业绩分</w:t>
      </w:r>
      <w:r>
        <w:rPr>
          <w:rFonts w:hint="eastAsia" w:ascii="宋体" w:hAnsi="宋体" w:cs="Courier New"/>
          <w:b/>
          <w:color w:val="0000FF"/>
          <w:sz w:val="24"/>
          <w:szCs w:val="24"/>
        </w:rPr>
        <w:t>…………………………………………………………………………</w:t>
      </w:r>
      <w:r>
        <w:rPr>
          <w:rFonts w:ascii="宋体" w:hAnsi="宋体" w:cs="Courier New"/>
          <w:b/>
          <w:color w:val="0000FF"/>
          <w:sz w:val="24"/>
          <w:szCs w:val="24"/>
        </w:rPr>
        <w:t>10</w:t>
      </w:r>
      <w:r>
        <w:rPr>
          <w:rFonts w:hint="eastAsia" w:ascii="宋体" w:hAnsi="宋体" w:cs="Courier New"/>
          <w:b/>
          <w:color w:val="0000FF"/>
          <w:sz w:val="24"/>
          <w:szCs w:val="24"/>
        </w:rPr>
        <w:t>分</w:t>
      </w:r>
    </w:p>
    <w:p>
      <w:pPr>
        <w:spacing w:line="360" w:lineRule="auto"/>
        <w:ind w:firstLine="480" w:firstLineChars="200"/>
        <w:textAlignment w:val="top"/>
        <w:rPr>
          <w:rFonts w:ascii="宋体" w:hAnsi="宋体" w:cs="Courier New"/>
          <w:color w:val="0000FF"/>
          <w:sz w:val="24"/>
          <w:szCs w:val="24"/>
        </w:rPr>
      </w:pPr>
      <w:r>
        <w:rPr>
          <w:rFonts w:hint="eastAsia" w:ascii="宋体" w:hAnsi="宋体" w:cs="Courier New"/>
          <w:color w:val="0000FF"/>
          <w:sz w:val="24"/>
          <w:szCs w:val="24"/>
        </w:rPr>
        <w:t>（1）供应商通过ISO9001质量管理体系认证的，得</w:t>
      </w:r>
      <w:r>
        <w:rPr>
          <w:rFonts w:ascii="宋体" w:hAnsi="宋体" w:cs="Courier New"/>
          <w:color w:val="0000FF"/>
          <w:sz w:val="24"/>
          <w:szCs w:val="24"/>
        </w:rPr>
        <w:t>1</w:t>
      </w:r>
      <w:r>
        <w:rPr>
          <w:rFonts w:hint="eastAsia" w:ascii="宋体" w:hAnsi="宋体" w:cs="Courier New"/>
          <w:color w:val="0000FF"/>
          <w:sz w:val="24"/>
          <w:szCs w:val="24"/>
        </w:rPr>
        <w:t>分；</w:t>
      </w:r>
    </w:p>
    <w:p>
      <w:pPr>
        <w:spacing w:line="360" w:lineRule="auto"/>
        <w:ind w:firstLine="480" w:firstLineChars="200"/>
        <w:textAlignment w:val="top"/>
        <w:rPr>
          <w:rFonts w:ascii="宋体" w:hAnsi="宋体" w:cs="Courier New"/>
          <w:color w:val="0000FF"/>
          <w:sz w:val="24"/>
          <w:szCs w:val="24"/>
        </w:rPr>
      </w:pPr>
      <w:r>
        <w:rPr>
          <w:rFonts w:hint="eastAsia" w:ascii="宋体" w:hAnsi="宋体" w:cs="Courier New"/>
          <w:color w:val="0000FF"/>
          <w:sz w:val="24"/>
          <w:szCs w:val="24"/>
        </w:rPr>
        <w:t>（2）供应商通过ISO14001环境管理体系认证的，得</w:t>
      </w:r>
      <w:r>
        <w:rPr>
          <w:rFonts w:ascii="宋体" w:hAnsi="宋体" w:cs="Courier New"/>
          <w:color w:val="0000FF"/>
          <w:sz w:val="24"/>
          <w:szCs w:val="24"/>
        </w:rPr>
        <w:t>1</w:t>
      </w:r>
      <w:r>
        <w:rPr>
          <w:rFonts w:hint="eastAsia" w:ascii="宋体" w:hAnsi="宋体" w:cs="Courier New"/>
          <w:color w:val="0000FF"/>
          <w:sz w:val="24"/>
          <w:szCs w:val="24"/>
        </w:rPr>
        <w:t>分；</w:t>
      </w:r>
    </w:p>
    <w:p>
      <w:pPr>
        <w:spacing w:line="360" w:lineRule="auto"/>
        <w:ind w:firstLine="480" w:firstLineChars="200"/>
        <w:textAlignment w:val="top"/>
        <w:rPr>
          <w:rFonts w:ascii="宋体" w:hAnsi="宋体" w:cs="Courier New"/>
          <w:color w:val="0000FF"/>
          <w:sz w:val="24"/>
          <w:szCs w:val="24"/>
        </w:rPr>
      </w:pPr>
      <w:r>
        <w:rPr>
          <w:rFonts w:hint="eastAsia" w:ascii="宋体" w:hAnsi="宋体" w:cs="Courier New"/>
          <w:color w:val="0000FF"/>
          <w:sz w:val="24"/>
          <w:szCs w:val="24"/>
        </w:rPr>
        <w:t>（3）供应商通过OHSAS18001职业健康安全管理体系认证的，得</w:t>
      </w:r>
      <w:r>
        <w:rPr>
          <w:rFonts w:ascii="宋体" w:hAnsi="宋体" w:cs="Courier New"/>
          <w:color w:val="0000FF"/>
          <w:sz w:val="24"/>
          <w:szCs w:val="24"/>
        </w:rPr>
        <w:t>1</w:t>
      </w:r>
      <w:r>
        <w:rPr>
          <w:rFonts w:hint="eastAsia" w:ascii="宋体" w:hAnsi="宋体" w:cs="Courier New"/>
          <w:color w:val="0000FF"/>
          <w:sz w:val="24"/>
          <w:szCs w:val="24"/>
        </w:rPr>
        <w:t>分；</w:t>
      </w:r>
    </w:p>
    <w:p>
      <w:pPr>
        <w:spacing w:line="360" w:lineRule="auto"/>
        <w:ind w:firstLine="480" w:firstLineChars="200"/>
        <w:textAlignment w:val="top"/>
        <w:rPr>
          <w:rFonts w:ascii="宋体" w:hAnsi="宋体" w:cs="Courier New"/>
          <w:color w:val="0000FF"/>
          <w:sz w:val="24"/>
          <w:szCs w:val="24"/>
        </w:rPr>
      </w:pPr>
      <w:r>
        <w:rPr>
          <w:rFonts w:hint="eastAsia" w:ascii="宋体" w:hAnsi="宋体" w:cs="Courier New"/>
          <w:color w:val="0000FF"/>
          <w:sz w:val="24"/>
          <w:szCs w:val="24"/>
        </w:rPr>
        <w:t>（4）2017年（含）以来，供应商完成过同类项目，每项得1分，满分</w:t>
      </w:r>
      <w:r>
        <w:rPr>
          <w:rFonts w:ascii="宋体" w:hAnsi="宋体" w:cs="Courier New"/>
          <w:color w:val="0000FF"/>
          <w:sz w:val="24"/>
          <w:szCs w:val="24"/>
        </w:rPr>
        <w:t>7</w:t>
      </w:r>
      <w:r>
        <w:rPr>
          <w:rFonts w:hint="eastAsia" w:ascii="宋体" w:hAnsi="宋体" w:cs="Courier New"/>
          <w:color w:val="0000FF"/>
          <w:sz w:val="24"/>
          <w:szCs w:val="24"/>
        </w:rPr>
        <w:t>分。</w:t>
      </w:r>
    </w:p>
    <w:p>
      <w:pPr>
        <w:spacing w:line="360" w:lineRule="auto"/>
        <w:ind w:firstLine="420"/>
        <w:textAlignment w:val="top"/>
        <w:rPr>
          <w:rFonts w:ascii="宋体" w:hAnsi="宋体"/>
          <w:b/>
          <w:bCs/>
          <w:sz w:val="24"/>
          <w:szCs w:val="24"/>
        </w:rPr>
      </w:pPr>
      <w:r>
        <w:rPr>
          <w:rFonts w:hint="eastAsia" w:ascii="宋体" w:hAnsi="宋体" w:cs="Courier New"/>
          <w:b/>
          <w:bCs/>
          <w:color w:val="0000FF"/>
          <w:sz w:val="24"/>
          <w:szCs w:val="24"/>
        </w:rPr>
        <w:t>注：提供相关证书复印件并加盖供应商公章，业绩需提供中标/成交通知书复印件或有效合同复印件并加盖供应商公章，原件备查，未按要求提供者不得分。</w:t>
      </w:r>
    </w:p>
    <w:p>
      <w:pPr>
        <w:spacing w:line="360" w:lineRule="auto"/>
        <w:ind w:firstLine="420"/>
        <w:textAlignment w:val="top"/>
        <w:rPr>
          <w:rFonts w:ascii="宋体" w:hAnsi="宋体" w:cs="宋体"/>
          <w:b/>
          <w:kern w:val="0"/>
          <w:sz w:val="24"/>
          <w:szCs w:val="24"/>
        </w:rPr>
      </w:pPr>
      <w:r>
        <w:rPr>
          <w:rFonts w:hint="eastAsia" w:ascii="宋体" w:hAnsi="宋体" w:cs="Courier New"/>
          <w:b/>
          <w:sz w:val="24"/>
          <w:szCs w:val="24"/>
        </w:rPr>
        <w:t>总得分 =1+2+3+4</w:t>
      </w:r>
    </w:p>
    <w:p>
      <w:pPr>
        <w:pStyle w:val="3"/>
        <w:spacing w:line="360" w:lineRule="auto"/>
        <w:textAlignment w:val="top"/>
        <w:rPr>
          <w:rFonts w:hAnsi="宋体" w:cs="宋体"/>
          <w:b/>
          <w:bCs/>
          <w:kern w:val="0"/>
          <w:sz w:val="24"/>
          <w:szCs w:val="24"/>
        </w:rPr>
      </w:pPr>
      <w:r>
        <w:rPr>
          <w:rFonts w:hint="eastAsia" w:hAnsi="宋体" w:cs="宋体"/>
          <w:b/>
          <w:bCs/>
          <w:kern w:val="0"/>
          <w:sz w:val="24"/>
          <w:szCs w:val="24"/>
        </w:rPr>
        <w:t>三、服务单位</w:t>
      </w:r>
      <w:r>
        <w:rPr>
          <w:rFonts w:hAnsi="宋体" w:cs="宋体"/>
          <w:b/>
          <w:bCs/>
          <w:kern w:val="0"/>
          <w:sz w:val="24"/>
          <w:szCs w:val="24"/>
        </w:rPr>
        <w:t>确定原则</w:t>
      </w:r>
    </w:p>
    <w:p>
      <w:pPr>
        <w:spacing w:line="360" w:lineRule="auto"/>
        <w:ind w:firstLine="480" w:firstLineChars="200"/>
        <w:textAlignment w:val="top"/>
        <w:rPr>
          <w:rFonts w:asciiTheme="minorEastAsia" w:hAnsiTheme="minorEastAsia"/>
          <w:sz w:val="24"/>
          <w:szCs w:val="24"/>
        </w:rPr>
      </w:pPr>
      <w:r>
        <w:rPr>
          <w:rFonts w:hint="eastAsia" w:ascii="宋体" w:hAnsi="宋体" w:cs="宋体"/>
          <w:sz w:val="24"/>
          <w:szCs w:val="24"/>
        </w:rPr>
        <w:t>根据比选</w:t>
      </w:r>
      <w:r>
        <w:rPr>
          <w:rFonts w:ascii="宋体" w:hAnsi="宋体" w:cs="宋体"/>
          <w:sz w:val="24"/>
          <w:szCs w:val="24"/>
        </w:rPr>
        <w:t>总得分由高到低排列次序确定服务单位</w:t>
      </w:r>
      <w:r>
        <w:rPr>
          <w:rFonts w:hint="eastAsia" w:ascii="宋体" w:hAnsi="宋体" w:cs="宋体"/>
          <w:sz w:val="24"/>
          <w:szCs w:val="24"/>
        </w:rPr>
        <w:t>[得分相同时，以投标报价由高到低顺序排列；得分相同且投标报价相同的，按技术优劣顺序排列]。</w:t>
      </w:r>
    </w:p>
    <w:sectPr>
      <w:footerReference r:id="rId3" w:type="default"/>
      <w:pgSz w:w="11906" w:h="16838"/>
      <w:pgMar w:top="1247" w:right="1247" w:bottom="1247" w:left="124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283562"/>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47BAA"/>
    <w:multiLevelType w:val="multilevel"/>
    <w:tmpl w:val="4DD47BAA"/>
    <w:lvl w:ilvl="0" w:tentative="0">
      <w:start w:val="1"/>
      <w:numFmt w:val="bullet"/>
      <w:lvlText w:val=""/>
      <w:lvlJc w:val="left"/>
      <w:pPr>
        <w:ind w:left="1211" w:hanging="360"/>
      </w:pPr>
      <w:rPr>
        <w:rFonts w:hint="default" w:ascii="Wingdings" w:hAnsi="Wingdings"/>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C57"/>
    <w:rsid w:val="00024AF4"/>
    <w:rsid w:val="000800DF"/>
    <w:rsid w:val="000A7B1D"/>
    <w:rsid w:val="0012036B"/>
    <w:rsid w:val="00193B90"/>
    <w:rsid w:val="001A2271"/>
    <w:rsid w:val="00292C6B"/>
    <w:rsid w:val="002A634C"/>
    <w:rsid w:val="002C634D"/>
    <w:rsid w:val="00335A88"/>
    <w:rsid w:val="003761B6"/>
    <w:rsid w:val="00393F5F"/>
    <w:rsid w:val="003A32E1"/>
    <w:rsid w:val="00427F77"/>
    <w:rsid w:val="004B5468"/>
    <w:rsid w:val="004C3E00"/>
    <w:rsid w:val="005558E2"/>
    <w:rsid w:val="00557137"/>
    <w:rsid w:val="00564954"/>
    <w:rsid w:val="00572B4A"/>
    <w:rsid w:val="005A79BD"/>
    <w:rsid w:val="00626C13"/>
    <w:rsid w:val="0066082F"/>
    <w:rsid w:val="00672505"/>
    <w:rsid w:val="00673302"/>
    <w:rsid w:val="006737D0"/>
    <w:rsid w:val="006D38E1"/>
    <w:rsid w:val="006D588B"/>
    <w:rsid w:val="007143AB"/>
    <w:rsid w:val="00793E9E"/>
    <w:rsid w:val="008354FD"/>
    <w:rsid w:val="00841988"/>
    <w:rsid w:val="008F6EF7"/>
    <w:rsid w:val="00913EC2"/>
    <w:rsid w:val="0099122C"/>
    <w:rsid w:val="00994558"/>
    <w:rsid w:val="00A47AE0"/>
    <w:rsid w:val="00A945BF"/>
    <w:rsid w:val="00BA7D40"/>
    <w:rsid w:val="00BB158C"/>
    <w:rsid w:val="00BE3ADD"/>
    <w:rsid w:val="00C42C57"/>
    <w:rsid w:val="00CA135D"/>
    <w:rsid w:val="00CD2835"/>
    <w:rsid w:val="00D80F68"/>
    <w:rsid w:val="00D861FE"/>
    <w:rsid w:val="00D87219"/>
    <w:rsid w:val="00DE5FC6"/>
    <w:rsid w:val="00E25DFD"/>
    <w:rsid w:val="00E74AF4"/>
    <w:rsid w:val="00EC2655"/>
    <w:rsid w:val="00ED208B"/>
    <w:rsid w:val="00ED69C0"/>
    <w:rsid w:val="00EE7578"/>
    <w:rsid w:val="00F03B64"/>
    <w:rsid w:val="00F53104"/>
    <w:rsid w:val="00F841F4"/>
    <w:rsid w:val="40EA4253"/>
    <w:rsid w:val="45127EBC"/>
    <w:rsid w:val="5FD8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Plain Text"/>
    <w:basedOn w:val="1"/>
    <w:link w:val="16"/>
    <w:qFormat/>
    <w:uiPriority w:val="99"/>
    <w:rPr>
      <w:rFonts w:ascii="宋体" w:hAnsi="Courier New" w:eastAsia="宋体"/>
    </w:rPr>
  </w:style>
  <w:style w:type="paragraph" w:styleId="4">
    <w:name w:val="Balloon Text"/>
    <w:basedOn w:val="1"/>
    <w:link w:val="20"/>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spacing w:line="360" w:lineRule="auto"/>
    </w:pPr>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纯文本 Char1"/>
    <w:link w:val="3"/>
    <w:qFormat/>
    <w:uiPriority w:val="99"/>
    <w:rPr>
      <w:rFonts w:ascii="宋体" w:hAnsi="Courier New" w:eastAsia="宋体"/>
    </w:rPr>
  </w:style>
  <w:style w:type="character" w:customStyle="1" w:styleId="17">
    <w:name w:val="纯文本 Char"/>
    <w:basedOn w:val="10"/>
    <w:semiHidden/>
    <w:qFormat/>
    <w:uiPriority w:val="99"/>
    <w:rPr>
      <w:rFonts w:ascii="宋体" w:hAnsi="Courier New" w:eastAsia="宋体" w:cs="Courier New"/>
      <w:szCs w:val="21"/>
    </w:rPr>
  </w:style>
  <w:style w:type="character" w:customStyle="1" w:styleId="18">
    <w:name w:val="批注文字 Char"/>
    <w:basedOn w:val="10"/>
    <w:link w:val="2"/>
    <w:semiHidden/>
    <w:qFormat/>
    <w:uiPriority w:val="99"/>
  </w:style>
  <w:style w:type="character" w:customStyle="1" w:styleId="19">
    <w:name w:val="批注主题 Char"/>
    <w:basedOn w:val="18"/>
    <w:link w:val="7"/>
    <w:semiHidden/>
    <w:qFormat/>
    <w:uiPriority w:val="99"/>
    <w:rPr>
      <w:b/>
      <w:bCs/>
    </w:rPr>
  </w:style>
  <w:style w:type="character" w:customStyle="1" w:styleId="20">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669</Words>
  <Characters>3816</Characters>
  <Lines>31</Lines>
  <Paragraphs>8</Paragraphs>
  <TotalTime>12</TotalTime>
  <ScaleCrop>false</ScaleCrop>
  <LinksUpToDate>false</LinksUpToDate>
  <CharactersWithSpaces>4477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2018-01-08T01:40:00Z</dcterms:created>
  <dc:creator>hx</dc:creator>
  <cp:lastModifiedBy>Administrator</cp:lastModifiedBy>
  <dcterms:modified xsi:type="dcterms:W3CDTF">2020-07-14T14:18:36Z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